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45A90992" w:rsidR="00B23EB7" w:rsidRPr="00AE7AD7" w:rsidRDefault="00B23EB7" w:rsidP="00B23EB7">
      <w:pPr>
        <w:rPr>
          <w:rFonts w:ascii="Calibri" w:eastAsia="Times New Roman" w:hAnsi="Calibri" w:cs="Calibri"/>
          <w:color w:val="000000"/>
          <w:sz w:val="32"/>
          <w:szCs w:val="32"/>
        </w:rPr>
      </w:pPr>
      <w:r w:rsidRPr="00B5257B">
        <w:rPr>
          <w:rFonts w:ascii="Arial" w:hAnsi="Arial" w:cs="Arial"/>
          <w:b/>
          <w:bCs/>
        </w:rPr>
        <w:t>3GPP TSG RAN WG1 #9</w:t>
      </w:r>
      <w:r w:rsidR="00AD1997">
        <w:rPr>
          <w:rFonts w:ascii="Arial" w:hAnsi="Arial" w:cs="Arial"/>
          <w:b/>
          <w:bCs/>
        </w:rPr>
        <w:t>8</w:t>
      </w:r>
      <w:r w:rsidRPr="00B5257B">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sidR="00F763E7">
        <w:rPr>
          <w:rFonts w:ascii="Arial" w:hAnsi="Arial" w:cs="Arial"/>
          <w:b/>
          <w:bCs/>
        </w:rPr>
        <w:tab/>
      </w:r>
      <w:r w:rsidRPr="00AE7AD7">
        <w:rPr>
          <w:rFonts w:ascii="Arial" w:hAnsi="Arial" w:cs="Arial"/>
          <w:b/>
          <w:bCs/>
        </w:rPr>
        <w:t>R1-19</w:t>
      </w:r>
      <w:r w:rsidR="00641EAB">
        <w:rPr>
          <w:rFonts w:ascii="Arial" w:hAnsi="Arial" w:cs="Arial"/>
          <w:b/>
          <w:bCs/>
        </w:rPr>
        <w:t>09049</w:t>
      </w:r>
      <w:bookmarkStart w:id="0" w:name="_GoBack"/>
      <w:bookmarkEnd w:id="0"/>
    </w:p>
    <w:p w14:paraId="363C972C" w14:textId="77E6CB9C" w:rsidR="00AD1997" w:rsidRPr="00AD1997" w:rsidRDefault="00AD1997" w:rsidP="00AD1997">
      <w:pPr>
        <w:tabs>
          <w:tab w:val="center" w:pos="4536"/>
          <w:tab w:val="right" w:pos="9072"/>
        </w:tabs>
        <w:rPr>
          <w:rFonts w:ascii="Arial" w:eastAsia="MS Mincho" w:hAnsi="Arial" w:cs="Arial"/>
          <w:b/>
          <w:bCs/>
          <w:lang w:val="en-GB" w:eastAsia="ja-JP"/>
        </w:rPr>
      </w:pPr>
      <w:r w:rsidRPr="00AD1997">
        <w:rPr>
          <w:rFonts w:ascii="Arial" w:eastAsia="MS Mincho" w:hAnsi="Arial" w:cs="Arial"/>
          <w:b/>
          <w:bCs/>
          <w:lang w:val="en-GB" w:eastAsia="ja-JP"/>
        </w:rPr>
        <w:t>Prague, CZ, August 26</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xml:space="preserve"> – 30</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2019</w:t>
      </w:r>
    </w:p>
    <w:p w14:paraId="798EC543" w14:textId="77777777" w:rsidR="00B23EB7" w:rsidRPr="00AD1997"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D4C8C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2C57AC">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06A3732"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 xml:space="preserve">Remaining Issues on </w:t>
      </w:r>
      <w:r w:rsidR="002C57AC">
        <w:rPr>
          <w:sz w:val="22"/>
          <w:szCs w:val="22"/>
        </w:rPr>
        <w:t>Uplink Full Power Transmission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58BCF8D"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 xml:space="preserve">RAN1 #97 meeting, the following </w:t>
      </w:r>
      <w:r w:rsidR="00274F27">
        <w:rPr>
          <w:lang w:val="en-US"/>
        </w:rPr>
        <w:t xml:space="preserve">working assumptions </w:t>
      </w:r>
      <w:r w:rsidR="003105DC">
        <w:rPr>
          <w:lang w:val="en-US"/>
        </w:rPr>
        <w:t xml:space="preserve">on </w:t>
      </w:r>
      <w:r w:rsidR="002C57AC">
        <w:rPr>
          <w:lang w:val="en-US"/>
        </w:rPr>
        <w:t>uplink full power transmission have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14:paraId="60005E2A" w14:textId="77777777" w:rsidTr="003105DC">
        <w:tc>
          <w:tcPr>
            <w:tcW w:w="9010" w:type="dxa"/>
          </w:tcPr>
          <w:p w14:paraId="131DDE7C" w14:textId="77777777" w:rsidR="002C57AC" w:rsidRPr="002C57AC" w:rsidRDefault="002C57AC" w:rsidP="002C57AC">
            <w:pPr>
              <w:rPr>
                <w:sz w:val="20"/>
                <w:szCs w:val="20"/>
              </w:rPr>
            </w:pPr>
            <w:r w:rsidRPr="002C57AC">
              <w:rPr>
                <w:sz w:val="20"/>
                <w:szCs w:val="20"/>
                <w:highlight w:val="darkYellow"/>
              </w:rPr>
              <w:t>Working Assumption</w:t>
            </w:r>
          </w:p>
          <w:p w14:paraId="7BED0227" w14:textId="77777777" w:rsidR="002C57AC" w:rsidRPr="002C57AC" w:rsidRDefault="002C57AC" w:rsidP="002C57AC">
            <w:pPr>
              <w:rPr>
                <w:sz w:val="20"/>
                <w:szCs w:val="20"/>
              </w:rPr>
            </w:pPr>
            <w:r w:rsidRPr="002C57AC">
              <w:rPr>
                <w:sz w:val="20"/>
                <w:szCs w:val="20"/>
              </w:rPr>
              <w:t>Support following scheme for UL full power Tx for UE capability 2 and 3:</w:t>
            </w:r>
          </w:p>
          <w:p w14:paraId="4E787A78" w14:textId="77777777" w:rsidR="002C57AC" w:rsidRPr="002C57AC" w:rsidRDefault="002C57AC" w:rsidP="002C57AC">
            <w:pPr>
              <w:pStyle w:val="ListParagraph"/>
              <w:numPr>
                <w:ilvl w:val="0"/>
                <w:numId w:val="31"/>
              </w:numPr>
              <w:ind w:leftChars="0"/>
              <w:rPr>
                <w:rFonts w:ascii="Times New Roman" w:hAnsi="Times New Roman"/>
                <w:szCs w:val="20"/>
              </w:rPr>
            </w:pPr>
            <w:r w:rsidRPr="002C57AC">
              <w:rPr>
                <w:rFonts w:ascii="Times New Roman" w:hAnsi="Times New Roman"/>
                <w:szCs w:val="20"/>
              </w:rPr>
              <w:t>A UE can be configured for one of two modes of full power operation to support ‘Capability 2’ and ‘Capability 3’ subject to UE capability</w:t>
            </w:r>
          </w:p>
          <w:p w14:paraId="7EFF216F" w14:textId="77777777" w:rsidR="002C57AC" w:rsidRPr="002C57AC" w:rsidRDefault="002C57AC" w:rsidP="002C57AC">
            <w:pPr>
              <w:pStyle w:val="ListParagraph"/>
              <w:numPr>
                <w:ilvl w:val="0"/>
                <w:numId w:val="31"/>
              </w:numPr>
              <w:ind w:leftChars="0"/>
              <w:rPr>
                <w:rFonts w:ascii="Times New Roman" w:hAnsi="Times New Roman"/>
                <w:szCs w:val="20"/>
              </w:rPr>
            </w:pPr>
            <w:r w:rsidRPr="002C57AC">
              <w:rPr>
                <w:rFonts w:ascii="Times New Roman" w:hAnsi="Times New Roman"/>
                <w:szCs w:val="20"/>
              </w:rPr>
              <w:t xml:space="preserve">A UE can be configured by the network to support full power transmission </w:t>
            </w:r>
          </w:p>
          <w:p w14:paraId="1CB2A958" w14:textId="77777777" w:rsidR="002C57AC" w:rsidRPr="002C57AC" w:rsidRDefault="002C57AC" w:rsidP="002C57AC">
            <w:pPr>
              <w:pStyle w:val="ListParagraph"/>
              <w:numPr>
                <w:ilvl w:val="0"/>
                <w:numId w:val="31"/>
              </w:numPr>
              <w:ind w:leftChars="0"/>
              <w:rPr>
                <w:rFonts w:ascii="Times New Roman" w:hAnsi="Times New Roman"/>
                <w:szCs w:val="20"/>
              </w:rPr>
            </w:pPr>
            <w:r w:rsidRPr="002C57AC">
              <w:rPr>
                <w:rFonts w:ascii="Times New Roman" w:hAnsi="Times New Roman"/>
                <w:szCs w:val="20"/>
              </w:rPr>
              <w:t>Mode 1: The UE can be configured with one or more SRS resources with same number of SRS ports (according to Rel-15)</w:t>
            </w:r>
            <w:r w:rsidRPr="002C57AC">
              <w:rPr>
                <w:rFonts w:ascii="Times New Roman" w:eastAsia="Malgun Gothic" w:hAnsi="Times New Roman"/>
                <w:szCs w:val="20"/>
              </w:rPr>
              <w:t xml:space="preserve"> within an SRS resource set which </w:t>
            </w:r>
            <w:r w:rsidRPr="002C57AC">
              <w:rPr>
                <w:rFonts w:ascii="Times New Roman" w:eastAsia="Malgun Gothic" w:hAnsi="Times New Roman"/>
                <w:i/>
                <w:szCs w:val="20"/>
              </w:rPr>
              <w:t>usage</w:t>
            </w:r>
            <w:r w:rsidRPr="002C57AC">
              <w:rPr>
                <w:rFonts w:ascii="Times New Roman" w:eastAsia="Malgun Gothic" w:hAnsi="Times New Roman"/>
                <w:szCs w:val="20"/>
              </w:rPr>
              <w:t xml:space="preserve"> is set to ‘codebook’</w:t>
            </w:r>
          </w:p>
          <w:p w14:paraId="0D175EED"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hAnsi="Times New Roman"/>
                <w:szCs w:val="20"/>
              </w:rPr>
              <w:t>gNB can configure the UE to use a subset of TPMIs that combine ports in a layer to produce full power transmission.</w:t>
            </w:r>
          </w:p>
          <w:p w14:paraId="54A1684A"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hAnsi="Times New Roman"/>
                <w:szCs w:val="20"/>
              </w:rPr>
              <w:t xml:space="preserve">A new codebookSubset is introduced only for the rank value(s) where full power transmission in UL is not achievable includes the TPMI precoders in </w:t>
            </w:r>
            <w:r w:rsidRPr="002C57AC">
              <w:rPr>
                <w:rFonts w:ascii="Times New Roman" w:hAnsi="Times New Roman"/>
                <w:i/>
                <w:szCs w:val="20"/>
              </w:rPr>
              <w:t>fullyAndPartialAndNonCoherent</w:t>
            </w:r>
            <w:r w:rsidRPr="002C57AC">
              <w:rPr>
                <w:rFonts w:ascii="Times New Roman" w:hAnsi="Times New Roman"/>
                <w:szCs w:val="20"/>
              </w:rPr>
              <w:t xml:space="preserve"> defined in Rel-15</w:t>
            </w:r>
          </w:p>
          <w:p w14:paraId="4F2AAF94"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 xml:space="preserve">FFS: At least a subset of the non-antenna selection TPMI precoder(s) is(are) supported </w:t>
            </w:r>
          </w:p>
          <w:p w14:paraId="339EB2A8"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FFS: Additional support of antenna selection TPMI precoders</w:t>
            </w:r>
          </w:p>
          <w:p w14:paraId="6A38B477"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hAnsi="Times New Roman"/>
                <w:szCs w:val="20"/>
              </w:rPr>
              <w:t>Note: as non-coherent UE, it is not capable of maintaining relative phase of antenna ports according to TPMI</w:t>
            </w:r>
          </w:p>
          <w:p w14:paraId="1C70267A" w14:textId="77777777" w:rsidR="002C57AC" w:rsidRPr="002C57AC" w:rsidRDefault="002C57AC" w:rsidP="002C57AC">
            <w:pPr>
              <w:pStyle w:val="ListParagraph"/>
              <w:numPr>
                <w:ilvl w:val="0"/>
                <w:numId w:val="31"/>
              </w:numPr>
              <w:ind w:leftChars="0"/>
              <w:rPr>
                <w:rFonts w:ascii="Times New Roman" w:hAnsi="Times New Roman"/>
                <w:szCs w:val="20"/>
              </w:rPr>
            </w:pPr>
            <w:r w:rsidRPr="002C57AC">
              <w:rPr>
                <w:rFonts w:ascii="Times New Roman" w:hAnsi="Times New Roman"/>
                <w:szCs w:val="20"/>
              </w:rPr>
              <w:t>Mode 2: The UE can be configured with one SRS resource or multiple SRS resources with different number of SRS ports</w:t>
            </w:r>
            <w:r w:rsidRPr="002C57AC">
              <w:rPr>
                <w:rFonts w:ascii="Times New Roman" w:eastAsia="Malgun Gothic" w:hAnsi="Times New Roman"/>
                <w:szCs w:val="20"/>
              </w:rPr>
              <w:t xml:space="preserve"> within a SRS resource set which </w:t>
            </w:r>
            <w:r w:rsidRPr="002C57AC">
              <w:rPr>
                <w:rFonts w:ascii="Times New Roman" w:eastAsia="Malgun Gothic" w:hAnsi="Times New Roman"/>
                <w:i/>
                <w:szCs w:val="20"/>
              </w:rPr>
              <w:t>usage</w:t>
            </w:r>
            <w:r w:rsidRPr="002C57AC">
              <w:rPr>
                <w:rFonts w:ascii="Times New Roman" w:eastAsia="Malgun Gothic" w:hAnsi="Times New Roman"/>
                <w:szCs w:val="20"/>
              </w:rPr>
              <w:t xml:space="preserve"> is set to ‘codebook’</w:t>
            </w:r>
          </w:p>
          <w:p w14:paraId="1580E9B8"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eastAsia="Malgun Gothic" w:hAnsi="Times New Roman"/>
                <w:szCs w:val="20"/>
              </w:rPr>
              <w:t>UE transmits SRS and PUSCH in same manner, whether antenna virtualization is used or not</w:t>
            </w:r>
          </w:p>
          <w:p w14:paraId="0D92F1B1"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eastAsia="Malgun Gothic" w:hAnsi="Times New Roman"/>
                <w:szCs w:val="20"/>
              </w:rPr>
              <w:t>Rel-15 codebooks and codebook subsets are used</w:t>
            </w:r>
          </w:p>
          <w:p w14:paraId="594ECF78"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Note: Antenna selection precoder can be used to enable full power related PA(s) to produce full power transmission for Capability-3 UE.</w:t>
            </w:r>
          </w:p>
          <w:p w14:paraId="3F7A02F7"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hAnsi="Times New Roman"/>
                <w:szCs w:val="20"/>
              </w:rPr>
              <w:t>UL full power Tx is achieved for PUSCH transmission according to indicated SRI and/or TPMI</w:t>
            </w:r>
          </w:p>
          <w:p w14:paraId="46D08570"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 xml:space="preserve">A set of TPMIs that deliver full power can be signalled by the UE in order to support at least  UEcap3, for SRS resource with more than 1 ports, </w:t>
            </w:r>
          </w:p>
          <w:p w14:paraId="489BED02"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20E03EF8"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hAnsi="Times New Roman"/>
                <w:szCs w:val="20"/>
              </w:rPr>
              <w:t>The following cases are not precluded</w:t>
            </w:r>
          </w:p>
          <w:p w14:paraId="55DC7062" w14:textId="77777777" w:rsidR="002C57AC" w:rsidRPr="002C57AC" w:rsidRDefault="002C57AC" w:rsidP="002C57AC">
            <w:pPr>
              <w:pStyle w:val="ListParagraph"/>
              <w:numPr>
                <w:ilvl w:val="3"/>
                <w:numId w:val="31"/>
              </w:numPr>
              <w:ind w:leftChars="0"/>
              <w:rPr>
                <w:rFonts w:ascii="Times New Roman" w:hAnsi="Times New Roman"/>
                <w:szCs w:val="20"/>
              </w:rPr>
            </w:pPr>
            <w:r w:rsidRPr="002C57AC">
              <w:rPr>
                <w:rFonts w:ascii="Times New Roman" w:hAnsi="Times New Roman"/>
                <w:szCs w:val="20"/>
              </w:rPr>
              <w:t>For example, for 4TX on UE side (with 20+20+17+17dBm) virtualized as 2 SRS ports, full uplink power transmission can be enabled by precoder [1 0] or [0 1]</w:t>
            </w:r>
          </w:p>
          <w:p w14:paraId="04D0339A"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eastAsia="Malgun Gothic" w:hAnsi="Times New Roman"/>
                <w:szCs w:val="20"/>
              </w:rPr>
              <w:t xml:space="preserve">FFS: number of SRS resources supported </w:t>
            </w:r>
          </w:p>
          <w:p w14:paraId="42583FCF" w14:textId="77777777" w:rsidR="002C57AC" w:rsidRPr="002C57AC" w:rsidRDefault="002C57AC" w:rsidP="002C57AC">
            <w:pPr>
              <w:pStyle w:val="ListParagraph"/>
              <w:numPr>
                <w:ilvl w:val="3"/>
                <w:numId w:val="31"/>
              </w:numPr>
              <w:ind w:leftChars="0"/>
              <w:rPr>
                <w:rFonts w:ascii="Times New Roman" w:hAnsi="Times New Roman"/>
                <w:szCs w:val="20"/>
              </w:rPr>
            </w:pPr>
            <w:r w:rsidRPr="002C57AC">
              <w:rPr>
                <w:rFonts w:ascii="Times New Roman" w:eastAsia="Malgun Gothic" w:hAnsi="Times New Roman"/>
                <w:szCs w:val="20"/>
              </w:rPr>
              <w:t xml:space="preserve">2 </w:t>
            </w:r>
          </w:p>
          <w:p w14:paraId="4E94D020" w14:textId="77777777" w:rsidR="002C57AC" w:rsidRPr="002C57AC" w:rsidRDefault="002C57AC" w:rsidP="002C57AC">
            <w:pPr>
              <w:pStyle w:val="ListParagraph"/>
              <w:numPr>
                <w:ilvl w:val="3"/>
                <w:numId w:val="31"/>
              </w:numPr>
              <w:ind w:leftChars="0"/>
              <w:rPr>
                <w:rFonts w:ascii="Times New Roman" w:hAnsi="Times New Roman"/>
                <w:szCs w:val="20"/>
              </w:rPr>
            </w:pPr>
            <w:r w:rsidRPr="002C57AC">
              <w:rPr>
                <w:rFonts w:ascii="Times New Roman" w:eastAsia="Malgun Gothic" w:hAnsi="Times New Roman"/>
                <w:szCs w:val="20"/>
              </w:rPr>
              <w:t xml:space="preserve">3 </w:t>
            </w:r>
          </w:p>
          <w:p w14:paraId="3E0132FE" w14:textId="77777777" w:rsidR="002C57AC" w:rsidRPr="002C57AC" w:rsidRDefault="002C57AC" w:rsidP="002C57AC">
            <w:pPr>
              <w:pStyle w:val="ListParagraph"/>
              <w:numPr>
                <w:ilvl w:val="2"/>
                <w:numId w:val="31"/>
              </w:numPr>
              <w:ind w:leftChars="0"/>
              <w:rPr>
                <w:rFonts w:ascii="Times New Roman" w:hAnsi="Times New Roman"/>
                <w:szCs w:val="20"/>
              </w:rPr>
            </w:pPr>
            <w:r w:rsidRPr="002C57AC">
              <w:rPr>
                <w:rFonts w:ascii="Times New Roman" w:eastAsia="Malgun Gothic" w:hAnsi="Times New Roman"/>
                <w:szCs w:val="20"/>
              </w:rPr>
              <w:t>FFS: for 4 Tx, how many different TPMIs/TPMI groups support full power</w:t>
            </w:r>
          </w:p>
          <w:p w14:paraId="4F0E0C2B" w14:textId="77777777" w:rsidR="002C57AC" w:rsidRPr="002C57AC" w:rsidRDefault="002C57AC" w:rsidP="002C57AC">
            <w:pPr>
              <w:pStyle w:val="ListParagraph"/>
              <w:numPr>
                <w:ilvl w:val="1"/>
                <w:numId w:val="31"/>
              </w:numPr>
              <w:ind w:leftChars="0"/>
              <w:rPr>
                <w:rFonts w:ascii="Times New Roman" w:hAnsi="Times New Roman"/>
                <w:szCs w:val="20"/>
              </w:rPr>
            </w:pPr>
            <w:r w:rsidRPr="002C57AC">
              <w:rPr>
                <w:rFonts w:ascii="Times New Roman" w:hAnsi="Times New Roman"/>
                <w:szCs w:val="20"/>
              </w:rPr>
              <w:lastRenderedPageBreak/>
              <w:t>FFS: any rules for spatial filter update for the SRS resources with different number ports</w:t>
            </w:r>
          </w:p>
          <w:p w14:paraId="68F5BBEA" w14:textId="77777777" w:rsidR="002C57AC" w:rsidRPr="002C57AC" w:rsidRDefault="002C57AC" w:rsidP="002C57AC">
            <w:pPr>
              <w:pStyle w:val="ListParagraph"/>
              <w:ind w:left="1680"/>
              <w:rPr>
                <w:rFonts w:ascii="Times New Roman" w:hAnsi="Times New Roman"/>
                <w:szCs w:val="20"/>
              </w:rPr>
            </w:pPr>
            <w:r w:rsidRPr="002C57AC">
              <w:rPr>
                <w:rFonts w:ascii="Times New Roman" w:hAnsi="Times New Roman"/>
                <w:szCs w:val="20"/>
              </w:rPr>
              <w:t>Note: How to capture the behaviour for ‘Mode 1’ and ‘Mode 2’ in specifications is TBD</w:t>
            </w:r>
          </w:p>
          <w:p w14:paraId="3636E83C" w14:textId="77777777" w:rsidR="002C57AC" w:rsidRPr="002C57AC" w:rsidRDefault="002C57AC" w:rsidP="002C57AC">
            <w:pPr>
              <w:pStyle w:val="ListParagraph"/>
              <w:ind w:left="1680"/>
              <w:rPr>
                <w:rFonts w:ascii="Times New Roman" w:hAnsi="Times New Roman"/>
                <w:szCs w:val="20"/>
              </w:rPr>
            </w:pPr>
            <w:r w:rsidRPr="002C57AC">
              <w:rPr>
                <w:rFonts w:ascii="Times New Roman" w:hAnsi="Times New Roman"/>
                <w:szCs w:val="20"/>
              </w:rPr>
              <w:t>Note: For single port, there is no SRI and TPMI</w:t>
            </w:r>
          </w:p>
          <w:p w14:paraId="737812AC" w14:textId="77777777" w:rsidR="002C57AC" w:rsidRPr="002C57AC" w:rsidRDefault="002C57AC" w:rsidP="002C57AC">
            <w:pPr>
              <w:pStyle w:val="ListParagraph"/>
              <w:ind w:left="1680"/>
              <w:rPr>
                <w:rFonts w:ascii="Times New Roman" w:hAnsi="Times New Roman"/>
                <w:szCs w:val="20"/>
              </w:rPr>
            </w:pPr>
            <w:r w:rsidRPr="002C57AC">
              <w:rPr>
                <w:rFonts w:ascii="Times New Roman" w:hAnsi="Times New Roman"/>
                <w:szCs w:val="20"/>
              </w:rPr>
              <w:t xml:space="preserve">Note: Support of Mode 1, Mode 2 have separate UE capability </w:t>
            </w:r>
          </w:p>
          <w:p w14:paraId="621BCFD1" w14:textId="77777777" w:rsidR="003105DC" w:rsidRPr="002C57AC" w:rsidRDefault="003105DC" w:rsidP="002C57AC">
            <w:pPr>
              <w:rPr>
                <w:lang w:val="en-GB"/>
              </w:rPr>
            </w:pPr>
          </w:p>
        </w:tc>
      </w:tr>
    </w:tbl>
    <w:p w14:paraId="0BD0ADA2" w14:textId="5FA1CCE2" w:rsidR="003105DC" w:rsidRDefault="003105DC" w:rsidP="003105DC">
      <w:pPr>
        <w:pStyle w:val="0Maintext"/>
        <w:spacing w:after="120" w:afterAutospacing="0" w:line="240" w:lineRule="auto"/>
        <w:rPr>
          <w:lang w:val="en-US"/>
        </w:rPr>
      </w:pPr>
    </w:p>
    <w:p w14:paraId="5B71D2C5" w14:textId="6640F74B"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w:t>
      </w:r>
      <w:r w:rsidR="002C57AC">
        <w:rPr>
          <w:lang w:val="en-US"/>
        </w:rPr>
        <w:t>mode 1 and mode 2 to support uplink full power transmission</w:t>
      </w:r>
      <w:r w:rsidR="005B1AD1">
        <w:rPr>
          <w:lang w:val="en-US"/>
        </w:rPr>
        <w:t>.</w:t>
      </w:r>
    </w:p>
    <w:p w14:paraId="311CF04D" w14:textId="46CC31D1" w:rsidR="00894787" w:rsidRDefault="002C57AC" w:rsidP="000A1890">
      <w:pPr>
        <w:pStyle w:val="Heading1"/>
      </w:pPr>
      <w:r>
        <w:t>Discussion</w:t>
      </w:r>
    </w:p>
    <w:p w14:paraId="704C9D5C" w14:textId="192DB3B3" w:rsidR="000A1890" w:rsidRDefault="002C57AC" w:rsidP="000A1890">
      <w:pPr>
        <w:pStyle w:val="Heading2"/>
      </w:pPr>
      <w:r>
        <w:t>Remaining issues on mode 1</w:t>
      </w:r>
    </w:p>
    <w:p w14:paraId="145A8BBE" w14:textId="16A7FBD1" w:rsidR="007A1B25" w:rsidRDefault="002C57AC" w:rsidP="007A1B25">
      <w:pPr>
        <w:pStyle w:val="0Maintext"/>
        <w:spacing w:after="120" w:afterAutospacing="0" w:line="240" w:lineRule="auto"/>
        <w:ind w:firstLine="0"/>
        <w:rPr>
          <w:lang w:val="en-US" w:eastAsia="zh-CN"/>
        </w:rPr>
      </w:pPr>
      <w:r w:rsidRPr="007A1B25">
        <w:rPr>
          <w:lang w:val="en-US" w:eastAsia="zh-CN"/>
        </w:rPr>
        <w:t xml:space="preserve">For mode 1, the key issue is how to define the new codebook subset. According to the working assumption, this new codebook subset should include at least one precoder for coherent transmission, e.g. precoder </w:t>
      </w:r>
      <m:oMath>
        <m:f>
          <m:fPr>
            <m:ctrlPr>
              <w:rPr>
                <w:rFonts w:ascii="Cambria Math" w:hAnsi="Cambria Math"/>
                <w:lang w:val="en-US" w:eastAsia="zh-CN"/>
              </w:rPr>
            </m:ctrlPr>
          </m:fPr>
          <m:num>
            <m:r>
              <m:rPr>
                <m:sty m:val="p"/>
              </m:rPr>
              <w:rPr>
                <w:rFonts w:ascii="Cambria Math" w:hAnsi="Cambria Math"/>
                <w:lang w:val="en-US" w:eastAsia="zh-CN"/>
              </w:rPr>
              <m:t>1</m:t>
            </m:r>
          </m:num>
          <m:den>
            <m:rad>
              <m:radPr>
                <m:degHide m:val="1"/>
                <m:ctrlPr>
                  <w:rPr>
                    <w:rFonts w:ascii="Cambria Math" w:hAnsi="Cambria Math"/>
                    <w:lang w:val="en-US" w:eastAsia="zh-CN"/>
                  </w:rPr>
                </m:ctrlPr>
              </m:radPr>
              <m:deg/>
              <m:e>
                <m:r>
                  <m:rPr>
                    <m:sty m:val="p"/>
                  </m:rPr>
                  <w:rPr>
                    <w:rFonts w:ascii="Cambria Math" w:hAnsi="Cambria Math"/>
                    <w:lang w:val="en-US" w:eastAsia="zh-CN"/>
                  </w:rPr>
                  <m:t>2</m:t>
                </m:r>
              </m:e>
            </m:rad>
          </m:den>
        </m:f>
        <m:d>
          <m:dPr>
            <m:begChr m:val="["/>
            <m:endChr m:val="]"/>
            <m:ctrlPr>
              <w:rPr>
                <w:rFonts w:ascii="Cambria Math" w:hAnsi="Cambria Math"/>
                <w:lang w:val="en-US" w:eastAsia="zh-CN"/>
              </w:rPr>
            </m:ctrlPr>
          </m:dPr>
          <m:e>
            <m:m>
              <m:mPr>
                <m:mcs>
                  <m:mc>
                    <m:mcPr>
                      <m:count m:val="1"/>
                      <m:mcJc m:val="center"/>
                    </m:mcPr>
                  </m:mc>
                </m:mcs>
                <m:ctrlPr>
                  <w:rPr>
                    <w:rFonts w:ascii="Cambria Math" w:hAnsi="Cambria Math"/>
                    <w:lang w:val="en-US" w:eastAsia="zh-CN"/>
                  </w:rPr>
                </m:ctrlPr>
              </m:mPr>
              <m:mr>
                <m:e>
                  <m:r>
                    <m:rPr>
                      <m:sty m:val="p"/>
                    </m:rPr>
                    <w:rPr>
                      <w:rFonts w:ascii="Cambria Math" w:hAnsi="Cambria Math"/>
                      <w:lang w:val="en-US" w:eastAsia="zh-CN"/>
                    </w:rPr>
                    <m:t>1</m:t>
                  </m:r>
                </m:e>
              </m:mr>
              <m:mr>
                <m:e>
                  <m:r>
                    <m:rPr>
                      <m:sty m:val="p"/>
                    </m:rPr>
                    <w:rPr>
                      <w:rFonts w:ascii="Cambria Math" w:hAnsi="Cambria Math"/>
                      <w:lang w:val="en-US" w:eastAsia="zh-CN"/>
                    </w:rPr>
                    <m:t>1</m:t>
                  </m:r>
                </m:e>
              </m:mr>
            </m:m>
          </m:e>
        </m:d>
      </m:oMath>
      <w:r w:rsidRPr="007A1B25">
        <w:rPr>
          <w:lang w:val="en-US" w:eastAsia="zh-CN"/>
        </w:rPr>
        <w:t xml:space="preserve">. </w:t>
      </w:r>
      <w:r w:rsidR="007A1B25" w:rsidRPr="007A1B25">
        <w:rPr>
          <w:lang w:val="en-US" w:eastAsia="zh-CN"/>
        </w:rPr>
        <w:t>Then one open issue is whether to include all precoders or only one of them. This could be related to the maximum phase offset between the SRS transmission and PUSCH transmission. If this phase offset could be small, to include all precoders for coherent transmission could be helpful for gNB to select the coarse direction for the transmission. On the other hand, if the phase offset is too large, it is hard for gNB to decide which precoder to select. The range of phase offset could be determined by UE implementation, which could be different for different UE.</w:t>
      </w:r>
      <w:r w:rsidR="005363A1">
        <w:rPr>
          <w:lang w:val="en-US" w:eastAsia="zh-CN"/>
        </w:rPr>
        <w:t xml:space="preserve"> Therefore, which antenna combining based precoders should be selected should be based on UE capability.</w:t>
      </w:r>
    </w:p>
    <w:p w14:paraId="1718F12D" w14:textId="70484AAA" w:rsidR="007A1B25" w:rsidRDefault="007A1B25" w:rsidP="007A1B25">
      <w:pPr>
        <w:pStyle w:val="0Maintext"/>
        <w:spacing w:after="120" w:afterAutospacing="0" w:line="240" w:lineRule="auto"/>
        <w:ind w:firstLine="0"/>
        <w:rPr>
          <w:lang w:val="en-US"/>
        </w:rPr>
      </w:pPr>
      <w:r>
        <w:rPr>
          <w:lang w:val="en-US" w:eastAsia="zh-CN"/>
        </w:rPr>
        <w:t xml:space="preserve">Further, for capability 3 UE, it may be able to support full power transmission for some antenna selection based precoder, e.g. </w:t>
      </w:r>
      <w:r>
        <w:rPr>
          <w:lang w:val="en-US"/>
        </w:rPr>
        <w:t xml:space="preserve">precoder </w:t>
      </w:r>
      <m:oMath>
        <m:f>
          <m:fPr>
            <m:ctrlPr>
              <w:rPr>
                <w:rFonts w:ascii="Cambria Math" w:hAnsi="Cambria Math"/>
                <w:lang w:val="en-US" w:eastAsia="zh-CN"/>
              </w:rPr>
            </m:ctrlPr>
          </m:fPr>
          <m:num>
            <m:r>
              <m:rPr>
                <m:sty m:val="p"/>
              </m:rPr>
              <w:rPr>
                <w:rFonts w:ascii="Cambria Math" w:hAnsi="Cambria Math"/>
                <w:lang w:val="en-US" w:eastAsia="zh-CN"/>
              </w:rPr>
              <m:t>1</m:t>
            </m:r>
          </m:num>
          <m:den>
            <m:rad>
              <m:radPr>
                <m:degHide m:val="1"/>
                <m:ctrlPr>
                  <w:rPr>
                    <w:rFonts w:ascii="Cambria Math" w:hAnsi="Cambria Math"/>
                    <w:lang w:val="en-US" w:eastAsia="zh-CN"/>
                  </w:rPr>
                </m:ctrlPr>
              </m:radPr>
              <m:deg/>
              <m:e>
                <m:r>
                  <m:rPr>
                    <m:sty m:val="p"/>
                  </m:rPr>
                  <w:rPr>
                    <w:rFonts w:ascii="Cambria Math" w:hAnsi="Cambria Math"/>
                    <w:lang w:val="en-US" w:eastAsia="zh-CN"/>
                  </w:rPr>
                  <m:t>2</m:t>
                </m:r>
              </m:e>
            </m:rad>
          </m:den>
        </m:f>
        <m:d>
          <m:dPr>
            <m:begChr m:val="["/>
            <m:endChr m:val="]"/>
            <m:ctrlPr>
              <w:rPr>
                <w:rFonts w:ascii="Cambria Math" w:hAnsi="Cambria Math"/>
                <w:lang w:val="en-US" w:eastAsia="zh-CN"/>
              </w:rPr>
            </m:ctrlPr>
          </m:dPr>
          <m:e>
            <m:m>
              <m:mPr>
                <m:mcs>
                  <m:mc>
                    <m:mcPr>
                      <m:count m:val="1"/>
                      <m:mcJc m:val="center"/>
                    </m:mcPr>
                  </m:mc>
                </m:mcs>
                <m:ctrlPr>
                  <w:rPr>
                    <w:rFonts w:ascii="Cambria Math" w:hAnsi="Cambria Math"/>
                    <w:lang w:val="en-US" w:eastAsia="zh-CN"/>
                  </w:rPr>
                </m:ctrlPr>
              </m:mPr>
              <m:mr>
                <m:e>
                  <m:r>
                    <m:rPr>
                      <m:sty m:val="p"/>
                    </m:rPr>
                    <w:rPr>
                      <w:rFonts w:ascii="Cambria Math" w:hAnsi="Cambria Math"/>
                      <w:lang w:val="en-US" w:eastAsia="zh-CN"/>
                    </w:rPr>
                    <m:t>1</m:t>
                  </m:r>
                </m:e>
              </m:mr>
              <m:mr>
                <m:e>
                  <m:r>
                    <m:rPr>
                      <m:sty m:val="p"/>
                    </m:rPr>
                    <w:rPr>
                      <w:rFonts w:ascii="Cambria Math" w:hAnsi="Cambria Math"/>
                      <w:lang w:val="en-US" w:eastAsia="zh-CN"/>
                    </w:rPr>
                    <m:t>0</m:t>
                  </m:r>
                </m:e>
              </m:mr>
            </m:m>
          </m:e>
        </m:d>
      </m:oMath>
      <w:r>
        <w:rPr>
          <w:lang w:val="en-US"/>
        </w:rPr>
        <w:t>, which is cannot support full power transmission for the others.</w:t>
      </w:r>
      <w:r w:rsidR="005363A1">
        <w:rPr>
          <w:lang w:val="en-US"/>
        </w:rPr>
        <w:t xml:space="preserve"> So whether to include antenna selection precoder or not should be based on UE capability.</w:t>
      </w:r>
    </w:p>
    <w:p w14:paraId="20653EBE" w14:textId="57CC3F2E" w:rsidR="005363A1" w:rsidRPr="007A1B25" w:rsidRDefault="005363A1" w:rsidP="007A1B25">
      <w:pPr>
        <w:pStyle w:val="0Maintext"/>
        <w:spacing w:after="120" w:afterAutospacing="0" w:line="240" w:lineRule="auto"/>
        <w:ind w:firstLine="0"/>
        <w:rPr>
          <w:lang w:val="en-US"/>
        </w:rPr>
      </w:pPr>
      <w:r>
        <w:rPr>
          <w:lang w:val="en-US"/>
        </w:rPr>
        <w:t>Based on the discussion above, which precoder(s) should be included in the new codebook subset for mode 1 should be based on UE capability.</w:t>
      </w:r>
    </w:p>
    <w:p w14:paraId="448EB091" w14:textId="357CBD82" w:rsidR="007A1B25" w:rsidRPr="005363A1" w:rsidRDefault="005363A1" w:rsidP="0005612B">
      <w:pPr>
        <w:rPr>
          <w:b/>
          <w:bCs/>
          <w:i/>
          <w:iCs/>
          <w:sz w:val="20"/>
          <w:szCs w:val="20"/>
        </w:rPr>
      </w:pPr>
      <w:r w:rsidRPr="005363A1">
        <w:rPr>
          <w:b/>
          <w:bCs/>
          <w:i/>
          <w:iCs/>
          <w:sz w:val="20"/>
          <w:szCs w:val="20"/>
        </w:rPr>
        <w:t>Proposal 1: Which precoder(s) should be included in the new codebook subset for mode 1 should be based on UE capability.</w:t>
      </w:r>
    </w:p>
    <w:p w14:paraId="0D7EFDEB" w14:textId="29BF6DE9" w:rsidR="005363A1" w:rsidRDefault="005363A1" w:rsidP="005363A1">
      <w:pPr>
        <w:pStyle w:val="Heading2"/>
      </w:pPr>
      <w:r>
        <w:t>Remaining issues on mode 2</w:t>
      </w:r>
    </w:p>
    <w:p w14:paraId="3C05597E" w14:textId="3446F8A3" w:rsidR="00BB5FC3" w:rsidRDefault="005363A1" w:rsidP="00BB5FC3">
      <w:pPr>
        <w:pStyle w:val="0Maintext"/>
        <w:spacing w:after="120" w:afterAutospacing="0" w:line="240" w:lineRule="auto"/>
        <w:ind w:firstLine="0"/>
        <w:rPr>
          <w:lang w:val="en-US"/>
        </w:rPr>
      </w:pPr>
      <w:r w:rsidRPr="00BB5FC3">
        <w:rPr>
          <w:lang w:val="en-US"/>
        </w:rPr>
        <w:t xml:space="preserve">For mode 2, one open issue is whether to support more than 2 SRS resources. It has been agreed that different number of ports can be configured for different SRS resources. Then for a 2 ports UE, gNB can configure 2 SRS resources: </w:t>
      </w:r>
      <w:r w:rsidR="00BB5FC3" w:rsidRPr="00BB5FC3">
        <w:rPr>
          <w:lang w:val="en-US"/>
        </w:rPr>
        <w:t>a 1-port SRS resource as well as a 2-port SRS resource. Then if 1-port SRS resource is indicated, UE can support full power transmission by antenna virtualization. If 2-port SRS resource is indicated, UE can support full power transmission for some precoders, e.g. rank 2 transmission or one antenna selection based precoder (for capability 3 UE only).</w:t>
      </w:r>
    </w:p>
    <w:p w14:paraId="21BD5218" w14:textId="6EA19B3B" w:rsidR="00BB5FC3" w:rsidRDefault="00BB5FC3" w:rsidP="00BB5FC3">
      <w:pPr>
        <w:pStyle w:val="0Maintext"/>
        <w:spacing w:after="120" w:afterAutospacing="0" w:line="240" w:lineRule="auto"/>
        <w:ind w:firstLine="0"/>
        <w:rPr>
          <w:lang w:val="en-US"/>
        </w:rPr>
      </w:pPr>
      <w:r>
        <w:rPr>
          <w:lang w:val="en-US"/>
        </w:rPr>
        <w:t xml:space="preserve">For 4 ports UE, one possible way is to configure multiple SRS resources with different number of ports, e.g. 4 SRS resources with different ports to support full power transmission for some capability 3 UE, e.g. UE with PA architecture like </w:t>
      </w:r>
      <w:r w:rsidRPr="002C57AC">
        <w:rPr>
          <w:rFonts w:cs="Times New Roman"/>
        </w:rPr>
        <w:t>20+20+17+17dBm</w:t>
      </w:r>
      <w:r>
        <w:rPr>
          <w:lang w:val="en-US"/>
        </w:rPr>
        <w:t>. However this would increase the system overhead. To support that type of UE, another possible way is not to increase the maximum number of SRS resources, instead, gNB can configure a 1-port SRS resource as well as a 4-port SRS resource. UE can report the precoders that can support full power transmission when 4-port SRS resource is indicated. Then for full power transmission, gNB can indicate corresponding precoders. Further most likely full power transmission is required for cell edge UEs, therefore for full power transmission, in most cases, rank 1 transmission would be applied. Therefore, 1 port SRS should be indicated. It is not necessary to increase number of SRS resources.</w:t>
      </w:r>
    </w:p>
    <w:p w14:paraId="48CD188D" w14:textId="233B7B5D" w:rsidR="00BB5FC3" w:rsidRPr="00C231D3" w:rsidRDefault="00BB5FC3" w:rsidP="00BB5FC3">
      <w:pPr>
        <w:pStyle w:val="0Maintext"/>
        <w:spacing w:after="120" w:afterAutospacing="0" w:line="240" w:lineRule="auto"/>
        <w:ind w:firstLine="0"/>
        <w:rPr>
          <w:b/>
          <w:bCs/>
          <w:i/>
          <w:iCs/>
          <w:lang w:val="en-US"/>
        </w:rPr>
      </w:pPr>
      <w:r w:rsidRPr="00C231D3">
        <w:rPr>
          <w:b/>
          <w:bCs/>
          <w:i/>
          <w:iCs/>
          <w:lang w:val="en-US"/>
        </w:rPr>
        <w:t>Proposal 2: Do not support to increase number of SRS resources.</w:t>
      </w:r>
    </w:p>
    <w:p w14:paraId="3BF85662" w14:textId="0D70D2FF" w:rsidR="00C231D3" w:rsidRDefault="00C231D3" w:rsidP="00BB5FC3">
      <w:pPr>
        <w:pStyle w:val="0Maintext"/>
        <w:spacing w:after="120" w:afterAutospacing="0" w:line="240" w:lineRule="auto"/>
        <w:ind w:firstLine="0"/>
        <w:rPr>
          <w:lang w:val="en-US"/>
        </w:rPr>
      </w:pPr>
      <w:r>
        <w:rPr>
          <w:lang w:val="en-US"/>
        </w:rPr>
        <w:t>Another open issue is whether to define any rules to update the spatial relation info for SRS with different ports. Currently the spatial relation info update for SRS with different usage could be based on MAC CE or RRC signaling. It is not necessary to define an additional rule to update spatial relation info for SRS resources for codebook when different number of ports is configured.</w:t>
      </w:r>
    </w:p>
    <w:p w14:paraId="0413D6D2" w14:textId="14B66A5B" w:rsidR="00C231D3" w:rsidRPr="00C231D3" w:rsidRDefault="00C231D3" w:rsidP="00BB5FC3">
      <w:pPr>
        <w:pStyle w:val="0Maintext"/>
        <w:spacing w:after="120" w:afterAutospacing="0" w:line="240" w:lineRule="auto"/>
        <w:ind w:firstLine="0"/>
        <w:rPr>
          <w:b/>
          <w:bCs/>
          <w:i/>
          <w:iCs/>
          <w:lang w:val="en-US"/>
        </w:rPr>
      </w:pPr>
      <w:r w:rsidRPr="00C231D3">
        <w:rPr>
          <w:b/>
          <w:bCs/>
          <w:i/>
          <w:iCs/>
          <w:lang w:val="en-US"/>
        </w:rPr>
        <w:t>Proposal 3: Do not support to introduce additional rule to update spatial relation info for SRS resources with different number of ports.</w:t>
      </w:r>
    </w:p>
    <w:p w14:paraId="3E7F03BE" w14:textId="6F3AC0DA" w:rsidR="005363A1" w:rsidRDefault="00BB5FC3" w:rsidP="0005612B">
      <w:pPr>
        <w:rPr>
          <w:sz w:val="20"/>
          <w:szCs w:val="20"/>
        </w:rPr>
      </w:pPr>
      <w:r>
        <w:rPr>
          <w:sz w:val="20"/>
          <w:szCs w:val="20"/>
        </w:rPr>
        <w:lastRenderedPageBreak/>
        <w:t xml:space="preserve"> </w:t>
      </w:r>
    </w:p>
    <w:p w14:paraId="2F619140" w14:textId="77777777" w:rsidR="002C57AC" w:rsidRDefault="002C57AC" w:rsidP="0005612B">
      <w:pPr>
        <w:rPr>
          <w:sz w:val="20"/>
          <w:szCs w:val="20"/>
        </w:rPr>
      </w:pPr>
    </w:p>
    <w:p w14:paraId="022777CA" w14:textId="3130A35F" w:rsidR="00041988" w:rsidRDefault="00C84FE2" w:rsidP="003105DC">
      <w:pPr>
        <w:pStyle w:val="Heading1"/>
      </w:pPr>
      <w:r>
        <w:t>Conclusion</w:t>
      </w:r>
    </w:p>
    <w:p w14:paraId="2479DF4E" w14:textId="7EEF9F1C"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C231D3">
        <w:rPr>
          <w:lang w:val="en-US"/>
        </w:rPr>
        <w:t>uplink full power transmission</w:t>
      </w:r>
      <w:r>
        <w:rPr>
          <w:lang w:val="en-US"/>
        </w:rPr>
        <w:t xml:space="preserve">. Based on the discussion, the following proposals have been </w:t>
      </w:r>
      <w:r w:rsidR="009D1C4F">
        <w:rPr>
          <w:lang w:val="en-US"/>
        </w:rPr>
        <w:t>made</w:t>
      </w:r>
      <w:r>
        <w:rPr>
          <w:lang w:val="en-US"/>
        </w:rPr>
        <w:t>:</w:t>
      </w:r>
    </w:p>
    <w:p w14:paraId="33557E24" w14:textId="5EF587EF" w:rsidR="00C231D3" w:rsidRPr="00C231D3" w:rsidRDefault="00C231D3" w:rsidP="00C231D3">
      <w:pPr>
        <w:pStyle w:val="0Maintext"/>
        <w:spacing w:after="120" w:afterAutospacing="0" w:line="240" w:lineRule="auto"/>
        <w:ind w:firstLine="0"/>
        <w:rPr>
          <w:b/>
          <w:bCs/>
          <w:i/>
          <w:iCs/>
          <w:lang w:val="en-US"/>
        </w:rPr>
      </w:pPr>
      <w:r w:rsidRPr="00C231D3">
        <w:rPr>
          <w:b/>
          <w:bCs/>
          <w:i/>
          <w:iCs/>
          <w:lang w:val="en-US"/>
        </w:rPr>
        <w:t>Proposal 1: Which precoder(s) should be included in the new codebook subset for mode 1 should be based on UE capability.</w:t>
      </w:r>
    </w:p>
    <w:p w14:paraId="44FA4478" w14:textId="77777777" w:rsidR="00C231D3" w:rsidRPr="00C231D3" w:rsidRDefault="00C231D3" w:rsidP="00C231D3">
      <w:pPr>
        <w:pStyle w:val="0Maintext"/>
        <w:spacing w:after="120" w:afterAutospacing="0" w:line="240" w:lineRule="auto"/>
        <w:ind w:firstLine="0"/>
        <w:rPr>
          <w:b/>
          <w:bCs/>
          <w:i/>
          <w:iCs/>
          <w:lang w:val="en-US"/>
        </w:rPr>
      </w:pPr>
      <w:r w:rsidRPr="00C231D3">
        <w:rPr>
          <w:b/>
          <w:bCs/>
          <w:i/>
          <w:iCs/>
          <w:lang w:val="en-US"/>
        </w:rPr>
        <w:t>Proposal 2: Do not support to increase number of SRS resources.</w:t>
      </w:r>
    </w:p>
    <w:p w14:paraId="7C8FF981" w14:textId="77777777" w:rsidR="00C231D3" w:rsidRPr="00C231D3" w:rsidRDefault="00C231D3" w:rsidP="00C231D3">
      <w:pPr>
        <w:pStyle w:val="0Maintext"/>
        <w:spacing w:after="120" w:afterAutospacing="0" w:line="240" w:lineRule="auto"/>
        <w:ind w:firstLine="0"/>
        <w:rPr>
          <w:b/>
          <w:bCs/>
          <w:i/>
          <w:iCs/>
          <w:lang w:val="en-US"/>
        </w:rPr>
      </w:pPr>
      <w:r w:rsidRPr="00C231D3">
        <w:rPr>
          <w:b/>
          <w:bCs/>
          <w:i/>
          <w:iCs/>
          <w:lang w:val="en-US"/>
        </w:rPr>
        <w:t>Proposal 3: Do not support to introduce additional rule to update spatial relation info for SRS resources with different number of ports.</w:t>
      </w:r>
    </w:p>
    <w:p w14:paraId="2A5BA4DC" w14:textId="6DB80A0A" w:rsidR="002134C9" w:rsidRDefault="002134C9" w:rsidP="002134C9">
      <w:pPr>
        <w:pStyle w:val="Heading1"/>
      </w:pPr>
      <w:r>
        <w:t>Reference</w:t>
      </w:r>
    </w:p>
    <w:p w14:paraId="1D7536D3" w14:textId="0B596766" w:rsidR="004B74CC" w:rsidRPr="00421D5E" w:rsidRDefault="004B74CC" w:rsidP="004B74CC">
      <w:pPr>
        <w:numPr>
          <w:ilvl w:val="0"/>
          <w:numId w:val="3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Pr>
          <w:sz w:val="22"/>
          <w:szCs w:val="22"/>
        </w:rPr>
        <w:t>7, Reno</w:t>
      </w:r>
      <w:r w:rsidRPr="00CB7BB7">
        <w:rPr>
          <w:sz w:val="22"/>
          <w:szCs w:val="22"/>
        </w:rPr>
        <w:t xml:space="preserve">, </w:t>
      </w:r>
      <w:r>
        <w:rPr>
          <w:sz w:val="22"/>
          <w:szCs w:val="22"/>
        </w:rPr>
        <w:t>USA</w:t>
      </w:r>
      <w:r w:rsidRPr="00CB7BB7">
        <w:rPr>
          <w:sz w:val="22"/>
          <w:szCs w:val="22"/>
        </w:rPr>
        <w:t xml:space="preserve">, </w:t>
      </w:r>
      <w:r w:rsidRPr="001628E8">
        <w:rPr>
          <w:sz w:val="22"/>
          <w:szCs w:val="22"/>
        </w:rPr>
        <w:t>13th – 17th, May 2019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A2BDF"/>
    <w:multiLevelType w:val="hybridMultilevel"/>
    <w:tmpl w:val="74BE1B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F15A6E"/>
    <w:multiLevelType w:val="hybridMultilevel"/>
    <w:tmpl w:val="D4963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470740"/>
    <w:multiLevelType w:val="hybridMultilevel"/>
    <w:tmpl w:val="5030D7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80293"/>
    <w:multiLevelType w:val="hybridMultilevel"/>
    <w:tmpl w:val="BEF8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F0D1F"/>
    <w:multiLevelType w:val="hybridMultilevel"/>
    <w:tmpl w:val="7A326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1D5989"/>
    <w:multiLevelType w:val="hybridMultilevel"/>
    <w:tmpl w:val="56B6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502592"/>
    <w:multiLevelType w:val="hybridMultilevel"/>
    <w:tmpl w:val="36CEE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0B2506"/>
    <w:multiLevelType w:val="hybridMultilevel"/>
    <w:tmpl w:val="0400B94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15"/>
  </w:num>
  <w:num w:numId="3">
    <w:abstractNumId w:val="9"/>
  </w:num>
  <w:num w:numId="4">
    <w:abstractNumId w:val="28"/>
  </w:num>
  <w:num w:numId="5">
    <w:abstractNumId w:val="6"/>
  </w:num>
  <w:num w:numId="6">
    <w:abstractNumId w:val="3"/>
  </w:num>
  <w:num w:numId="7">
    <w:abstractNumId w:val="27"/>
  </w:num>
  <w:num w:numId="8">
    <w:abstractNumId w:val="23"/>
  </w:num>
  <w:num w:numId="9">
    <w:abstractNumId w:val="26"/>
  </w:num>
  <w:num w:numId="10">
    <w:abstractNumId w:val="13"/>
  </w:num>
  <w:num w:numId="11">
    <w:abstractNumId w:val="10"/>
  </w:num>
  <w:num w:numId="12">
    <w:abstractNumId w:val="17"/>
  </w:num>
  <w:num w:numId="13">
    <w:abstractNumId w:val="4"/>
  </w:num>
  <w:num w:numId="14">
    <w:abstractNumId w:val="18"/>
  </w:num>
  <w:num w:numId="15">
    <w:abstractNumId w:val="25"/>
  </w:num>
  <w:num w:numId="16">
    <w:abstractNumId w:val="29"/>
  </w:num>
  <w:num w:numId="17">
    <w:abstractNumId w:val="24"/>
  </w:num>
  <w:num w:numId="18">
    <w:abstractNumId w:val="30"/>
  </w:num>
  <w:num w:numId="19">
    <w:abstractNumId w:val="12"/>
  </w:num>
  <w:num w:numId="20">
    <w:abstractNumId w:val="19"/>
  </w:num>
  <w:num w:numId="21">
    <w:abstractNumId w:val="7"/>
  </w:num>
  <w:num w:numId="22">
    <w:abstractNumId w:val="20"/>
  </w:num>
  <w:num w:numId="23">
    <w:abstractNumId w:val="11"/>
  </w:num>
  <w:num w:numId="24">
    <w:abstractNumId w:val="5"/>
  </w:num>
  <w:num w:numId="25">
    <w:abstractNumId w:val="22"/>
  </w:num>
  <w:num w:numId="26">
    <w:abstractNumId w:val="14"/>
  </w:num>
  <w:num w:numId="27">
    <w:abstractNumId w:val="16"/>
  </w:num>
  <w:num w:numId="28">
    <w:abstractNumId w:val="21"/>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212EC"/>
    <w:rsid w:val="00031E68"/>
    <w:rsid w:val="00041988"/>
    <w:rsid w:val="00044CC2"/>
    <w:rsid w:val="0005612B"/>
    <w:rsid w:val="000605BB"/>
    <w:rsid w:val="000A1890"/>
    <w:rsid w:val="000F2C70"/>
    <w:rsid w:val="00127219"/>
    <w:rsid w:val="00140849"/>
    <w:rsid w:val="00153773"/>
    <w:rsid w:val="0018607A"/>
    <w:rsid w:val="00194BBD"/>
    <w:rsid w:val="002134C9"/>
    <w:rsid w:val="00252B41"/>
    <w:rsid w:val="00266E0F"/>
    <w:rsid w:val="00274F27"/>
    <w:rsid w:val="00284AB0"/>
    <w:rsid w:val="00285B13"/>
    <w:rsid w:val="002948FF"/>
    <w:rsid w:val="002A274D"/>
    <w:rsid w:val="002A5B21"/>
    <w:rsid w:val="002B72F3"/>
    <w:rsid w:val="002C4EFD"/>
    <w:rsid w:val="002C57AC"/>
    <w:rsid w:val="003105DC"/>
    <w:rsid w:val="0034417B"/>
    <w:rsid w:val="00366F52"/>
    <w:rsid w:val="003E75B6"/>
    <w:rsid w:val="00417FC9"/>
    <w:rsid w:val="00461B15"/>
    <w:rsid w:val="004A41EF"/>
    <w:rsid w:val="004B3124"/>
    <w:rsid w:val="004B74CC"/>
    <w:rsid w:val="00517ADD"/>
    <w:rsid w:val="005363A1"/>
    <w:rsid w:val="0053782C"/>
    <w:rsid w:val="00556671"/>
    <w:rsid w:val="005B1AD1"/>
    <w:rsid w:val="005B6997"/>
    <w:rsid w:val="005D45F7"/>
    <w:rsid w:val="005F7A0E"/>
    <w:rsid w:val="0061765C"/>
    <w:rsid w:val="00626534"/>
    <w:rsid w:val="00631A14"/>
    <w:rsid w:val="00636D7B"/>
    <w:rsid w:val="00641EAB"/>
    <w:rsid w:val="006531B1"/>
    <w:rsid w:val="006A45D6"/>
    <w:rsid w:val="006D54CF"/>
    <w:rsid w:val="006F0EC9"/>
    <w:rsid w:val="00732388"/>
    <w:rsid w:val="0078114E"/>
    <w:rsid w:val="007A1B25"/>
    <w:rsid w:val="007E554B"/>
    <w:rsid w:val="007E6FF6"/>
    <w:rsid w:val="007F128C"/>
    <w:rsid w:val="0089138A"/>
    <w:rsid w:val="00894787"/>
    <w:rsid w:val="008A25E9"/>
    <w:rsid w:val="008A65A1"/>
    <w:rsid w:val="008B24BF"/>
    <w:rsid w:val="008D0789"/>
    <w:rsid w:val="008D6AE1"/>
    <w:rsid w:val="00911E05"/>
    <w:rsid w:val="00911EFA"/>
    <w:rsid w:val="009169C4"/>
    <w:rsid w:val="00916E49"/>
    <w:rsid w:val="00923A3D"/>
    <w:rsid w:val="00977119"/>
    <w:rsid w:val="00983F09"/>
    <w:rsid w:val="009D1C4F"/>
    <w:rsid w:val="009E0E57"/>
    <w:rsid w:val="009F58CE"/>
    <w:rsid w:val="009F7D20"/>
    <w:rsid w:val="00A352F0"/>
    <w:rsid w:val="00A41EE3"/>
    <w:rsid w:val="00A805B9"/>
    <w:rsid w:val="00A93DEE"/>
    <w:rsid w:val="00A95A78"/>
    <w:rsid w:val="00AB26E1"/>
    <w:rsid w:val="00AD1997"/>
    <w:rsid w:val="00AD66E4"/>
    <w:rsid w:val="00AF13FC"/>
    <w:rsid w:val="00B0669A"/>
    <w:rsid w:val="00B23EB7"/>
    <w:rsid w:val="00B72388"/>
    <w:rsid w:val="00B875E8"/>
    <w:rsid w:val="00BB5FC3"/>
    <w:rsid w:val="00BB64B1"/>
    <w:rsid w:val="00BF6DEF"/>
    <w:rsid w:val="00C231D3"/>
    <w:rsid w:val="00C36E32"/>
    <w:rsid w:val="00C40398"/>
    <w:rsid w:val="00C66A4A"/>
    <w:rsid w:val="00C84FE2"/>
    <w:rsid w:val="00CB3368"/>
    <w:rsid w:val="00D263F1"/>
    <w:rsid w:val="00D313A3"/>
    <w:rsid w:val="00D623A6"/>
    <w:rsid w:val="00E11B95"/>
    <w:rsid w:val="00E55EB5"/>
    <w:rsid w:val="00E56A0E"/>
    <w:rsid w:val="00EA73C1"/>
    <w:rsid w:val="00EC0F55"/>
    <w:rsid w:val="00EC2A35"/>
    <w:rsid w:val="00EE18CC"/>
    <w:rsid w:val="00EF7114"/>
    <w:rsid w:val="00F05BCC"/>
    <w:rsid w:val="00F17D02"/>
    <w:rsid w:val="00F37734"/>
    <w:rsid w:val="00F43CD1"/>
    <w:rsid w:val="00F763E7"/>
    <w:rsid w:val="00F87CB0"/>
    <w:rsid w:val="00FA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rFonts w:eastAsia="Times New Roman"/>
      <w:b/>
      <w:sz w:val="20"/>
      <w:szCs w:val="20"/>
      <w:lang w:val="en-GB" w:eastAsia="en-US"/>
    </w:rPr>
  </w:style>
  <w:style w:type="paragraph" w:customStyle="1" w:styleId="0maintext0">
    <w:name w:val="0maintext"/>
    <w:basedOn w:val="Normal"/>
    <w:rsid w:val="00B875E8"/>
    <w:pPr>
      <w:spacing w:before="100" w:beforeAutospacing="1" w:after="100" w:afterAutospacing="1"/>
    </w:pPr>
    <w:rPr>
      <w:rFonts w:eastAsia="Times New Roman"/>
    </w:rPr>
  </w:style>
  <w:style w:type="character" w:customStyle="1" w:styleId="apple-converted-space">
    <w:name w:val="apple-converted-space"/>
    <w:basedOn w:val="DefaultParagraphFont"/>
    <w:rsid w:val="00B87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0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6</cp:revision>
  <dcterms:created xsi:type="dcterms:W3CDTF">2019-08-15T01:33:00Z</dcterms:created>
  <dcterms:modified xsi:type="dcterms:W3CDTF">2019-08-16T01:23:00Z</dcterms:modified>
</cp:coreProperties>
</file>